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AAE6" w14:textId="77777777" w:rsidR="001239AB" w:rsidRDefault="00000000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rtl/>
          <w:lang w:bidi="ar-DZ"/>
        </w:rPr>
      </w:pPr>
      <w:r>
        <w:rPr>
          <w:rFonts w:ascii="Hacen Digital Arabia" w:hAnsi="Hacen Digital Arabia" w:cs="Hacen Digital Arabia"/>
          <w:rtl/>
          <w:lang w:bidi="ar-DZ"/>
        </w:rPr>
        <w:t xml:space="preserve">جامعة </w:t>
      </w:r>
      <w:r>
        <w:rPr>
          <w:rFonts w:ascii="Hacen Digital Arabia" w:hAnsi="Hacen Digital Arabia" w:cs="Hacen Digital Arabia" w:hint="cs"/>
          <w:rtl/>
          <w:lang w:bidi="ar-DZ"/>
        </w:rPr>
        <w:t xml:space="preserve"> الجزائر  </w:t>
      </w:r>
      <w:r>
        <w:rPr>
          <w:rFonts w:ascii="Verdana" w:hAnsi="Verdana" w:cs="Hacen Digital Arabia"/>
          <w:b/>
          <w:bCs/>
          <w:lang w:bidi="ar-DZ"/>
        </w:rPr>
        <w:t>III</w:t>
      </w:r>
      <w:r>
        <w:rPr>
          <w:rFonts w:ascii="Verdana" w:hAnsi="Verdana" w:cs="Hacen Digital Arabia"/>
          <w:b/>
          <w:bCs/>
          <w:rtl/>
          <w:lang w:bidi="ar-DZ"/>
        </w:rPr>
        <w:t xml:space="preserve"> </w:t>
      </w:r>
      <w:r>
        <w:rPr>
          <w:rFonts w:ascii="Hacen Digital Arabia" w:hAnsi="Hacen Digital Arabia" w:cs="Hacen Digital Arabia" w:hint="cs"/>
          <w:rtl/>
          <w:lang w:bidi="ar-DZ"/>
        </w:rPr>
        <w:t xml:space="preserve">          </w:t>
      </w:r>
      <w:r>
        <w:rPr>
          <w:rFonts w:ascii="Hacen Digital Arabia" w:hAnsi="Hacen Digital Arabia" w:cs="Hacen Digital Arabia"/>
          <w:rtl/>
          <w:lang w:bidi="ar-DZ"/>
        </w:rPr>
        <w:t xml:space="preserve">                    </w:t>
      </w:r>
      <w:r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</w:t>
      </w:r>
      <w:r>
        <w:rPr>
          <w:rFonts w:ascii="Hacen Digital Arabia" w:hAnsi="Hacen Digital Arabia" w:cs="Hacen Digital Arabia"/>
          <w:lang w:bidi="ar-DZ"/>
        </w:rPr>
        <w:t xml:space="preserve">       </w:t>
      </w:r>
      <w:r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                                                   </w:t>
      </w:r>
    </w:p>
    <w:p w14:paraId="6AA1EE3A" w14:textId="77777777" w:rsidR="001239AB" w:rsidRDefault="00000000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rtl/>
          <w:lang w:bidi="ar-DZ"/>
        </w:rPr>
      </w:pPr>
      <w:r>
        <w:rPr>
          <w:rFonts w:ascii="Hacen Digital Arabia" w:hAnsi="Hacen Digital Arabia" w:cs="Hacen Digital Arabia"/>
          <w:rtl/>
          <w:lang w:bidi="ar-DZ"/>
        </w:rPr>
        <w:t>كلية العلوم الاقتصادية</w:t>
      </w:r>
      <w:r>
        <w:rPr>
          <w:rFonts w:ascii="Hacen Digital Arabia" w:hAnsi="Hacen Digital Arabia" w:cs="Hacen Digital Arabia" w:hint="cs"/>
          <w:rtl/>
          <w:lang w:bidi="ar-DZ"/>
        </w:rPr>
        <w:t xml:space="preserve"> والتجارية و</w:t>
      </w:r>
      <w:r>
        <w:rPr>
          <w:rFonts w:ascii="Hacen Digital Arabia" w:hAnsi="Hacen Digital Arabia" w:cs="Hacen Digital Arabia"/>
          <w:rtl/>
          <w:lang w:bidi="ar-DZ"/>
        </w:rPr>
        <w:t>علوم</w:t>
      </w:r>
      <w:r>
        <w:rPr>
          <w:rFonts w:ascii="Hacen Digital Arabia" w:hAnsi="Hacen Digital Arabia" w:cs="Hacen Digital Arabia" w:hint="cs"/>
          <w:rtl/>
          <w:lang w:bidi="ar-DZ"/>
        </w:rPr>
        <w:t xml:space="preserve"> التسيير</w:t>
      </w:r>
      <w:r>
        <w:rPr>
          <w:rFonts w:ascii="Hacen Digital Arabia" w:hAnsi="Hacen Digital Arabia" w:cs="Hacen Digital Arabia"/>
          <w:rtl/>
          <w:lang w:bidi="ar-DZ"/>
        </w:rPr>
        <w:t xml:space="preserve">                                       </w:t>
      </w:r>
    </w:p>
    <w:p w14:paraId="613D1B82" w14:textId="77777777" w:rsidR="001239AB" w:rsidRDefault="00000000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sz w:val="24"/>
          <w:szCs w:val="24"/>
          <w:rtl/>
          <w:lang w:bidi="ar-DZ"/>
        </w:rPr>
      </w:pPr>
      <w:r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قسم العلوم </w:t>
      </w:r>
      <w:r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>التجارية</w:t>
      </w:r>
      <w:r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</w:t>
      </w:r>
      <w:r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>ثالثة  مالية المؤسسة                 مقياس جباية المؤسسة</w:t>
      </w:r>
      <w:r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</w:t>
      </w:r>
      <w:r>
        <w:rPr>
          <w:rFonts w:ascii="Hacen Digital Arabia" w:hAnsi="Hacen Digital Arabia" w:cs="Hacen Digital Arabia"/>
          <w:sz w:val="24"/>
          <w:szCs w:val="24"/>
          <w:lang w:bidi="ar-DZ"/>
        </w:rPr>
        <w:t>2024/2025</w:t>
      </w:r>
    </w:p>
    <w:p w14:paraId="00552E69" w14:textId="77777777" w:rsidR="001239AB" w:rsidRDefault="00000000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sz w:val="24"/>
          <w:szCs w:val="24"/>
          <w:rtl/>
          <w:lang w:bidi="ar-DZ"/>
        </w:rPr>
      </w:pPr>
      <w:r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   </w:t>
      </w:r>
      <w:r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     </w:t>
      </w:r>
    </w:p>
    <w:p w14:paraId="5EE22000" w14:textId="77777777" w:rsidR="001239AB" w:rsidRDefault="00000000">
      <w:pPr>
        <w:bidi/>
        <w:jc w:val="center"/>
        <w:rPr>
          <w:rFonts w:cs="AdvertisingLight"/>
          <w:sz w:val="20"/>
          <w:szCs w:val="20"/>
          <w:rtl/>
          <w:lang w:bidi="ar-DZ"/>
        </w:rPr>
      </w:pPr>
      <w:r>
        <w:rPr>
          <w:rFonts w:cs="AdvertisingLight" w:hint="cs"/>
          <w:sz w:val="20"/>
          <w:szCs w:val="20"/>
          <w:rtl/>
          <w:lang w:bidi="ar-DZ"/>
        </w:rPr>
        <w:t>الضريبة على الدخل الإجمالي :</w:t>
      </w:r>
    </w:p>
    <w:p w14:paraId="5860467B" w14:textId="77777777" w:rsidR="001239AB" w:rsidRPr="00D123E2" w:rsidRDefault="001239AB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007CB268" w14:textId="7107F59D" w:rsidR="001239AB" w:rsidRPr="00D123E2" w:rsidRDefault="00D123E2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1-3-</w:t>
      </w: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قدمت لك أرصدة حسابات التسيير المستخرجة من ميزان المراجعة بعد الجرد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لمؤسسة فردية في </w:t>
      </w: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2022/12/31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كمايلي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5225"/>
        <w:gridCol w:w="1533"/>
        <w:gridCol w:w="1630"/>
      </w:tblGrid>
      <w:tr w:rsidR="00B512E0" w:rsidRPr="00D123E2" w14:paraId="2CC8FFFF" w14:textId="77777777" w:rsidTr="00C36E8F">
        <w:tc>
          <w:tcPr>
            <w:tcW w:w="683" w:type="dxa"/>
          </w:tcPr>
          <w:p w14:paraId="4DF1BD19" w14:textId="38762E84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رح</w:t>
            </w:r>
          </w:p>
        </w:tc>
        <w:tc>
          <w:tcPr>
            <w:tcW w:w="5386" w:type="dxa"/>
          </w:tcPr>
          <w:p w14:paraId="4DF051BB" w14:textId="6D67E4EC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الحساب</w:t>
            </w:r>
          </w:p>
        </w:tc>
        <w:tc>
          <w:tcPr>
            <w:tcW w:w="1559" w:type="dxa"/>
          </w:tcPr>
          <w:p w14:paraId="177C511F" w14:textId="3635EA10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مدين </w:t>
            </w:r>
          </w:p>
        </w:tc>
        <w:tc>
          <w:tcPr>
            <w:tcW w:w="1660" w:type="dxa"/>
          </w:tcPr>
          <w:p w14:paraId="1740D21A" w14:textId="5E504654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داىن</w:t>
            </w:r>
            <w:proofErr w:type="spellEnd"/>
          </w:p>
        </w:tc>
      </w:tr>
      <w:tr w:rsidR="00B512E0" w:rsidRPr="00D123E2" w14:paraId="3F23AD5A" w14:textId="77777777" w:rsidTr="00C36E8F">
        <w:tc>
          <w:tcPr>
            <w:tcW w:w="683" w:type="dxa"/>
          </w:tcPr>
          <w:p w14:paraId="57470BE5" w14:textId="49A9614F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60</w:t>
            </w:r>
          </w:p>
        </w:tc>
        <w:tc>
          <w:tcPr>
            <w:tcW w:w="5386" w:type="dxa"/>
          </w:tcPr>
          <w:p w14:paraId="5BA029E1" w14:textId="7E32D32C" w:rsidR="00B512E0" w:rsidRPr="00D123E2" w:rsidRDefault="00B512E0" w:rsidP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المشتريات المستهلكة</w:t>
            </w:r>
          </w:p>
        </w:tc>
        <w:tc>
          <w:tcPr>
            <w:tcW w:w="1559" w:type="dxa"/>
          </w:tcPr>
          <w:p w14:paraId="2A7386D7" w14:textId="156918BB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15 000 000</w:t>
            </w:r>
          </w:p>
        </w:tc>
        <w:tc>
          <w:tcPr>
            <w:tcW w:w="1660" w:type="dxa"/>
          </w:tcPr>
          <w:p w14:paraId="2D08A160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1B168B59" w14:textId="77777777" w:rsidTr="00C36E8F">
        <w:tc>
          <w:tcPr>
            <w:tcW w:w="683" w:type="dxa"/>
          </w:tcPr>
          <w:p w14:paraId="154A27DD" w14:textId="46E0BF9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61</w:t>
            </w:r>
          </w:p>
        </w:tc>
        <w:tc>
          <w:tcPr>
            <w:tcW w:w="5386" w:type="dxa"/>
          </w:tcPr>
          <w:p w14:paraId="58E80D21" w14:textId="71CAC10B" w:rsidR="00B512E0" w:rsidRPr="00D123E2" w:rsidRDefault="00B512E0" w:rsidP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الخدمات الخارجية</w:t>
            </w:r>
          </w:p>
        </w:tc>
        <w:tc>
          <w:tcPr>
            <w:tcW w:w="1559" w:type="dxa"/>
          </w:tcPr>
          <w:p w14:paraId="594C9340" w14:textId="2E87664B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470 000</w:t>
            </w:r>
          </w:p>
        </w:tc>
        <w:tc>
          <w:tcPr>
            <w:tcW w:w="1660" w:type="dxa"/>
          </w:tcPr>
          <w:p w14:paraId="69B9E1C1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2820FB36" w14:textId="77777777" w:rsidTr="00C36E8F">
        <w:tc>
          <w:tcPr>
            <w:tcW w:w="683" w:type="dxa"/>
          </w:tcPr>
          <w:p w14:paraId="1BF3A66B" w14:textId="4D4CC21B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62</w:t>
            </w:r>
          </w:p>
        </w:tc>
        <w:tc>
          <w:tcPr>
            <w:tcW w:w="5386" w:type="dxa"/>
          </w:tcPr>
          <w:p w14:paraId="6D442385" w14:textId="21C3FD96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الخدمات الخارجية الأخرى</w:t>
            </w:r>
          </w:p>
        </w:tc>
        <w:tc>
          <w:tcPr>
            <w:tcW w:w="1559" w:type="dxa"/>
          </w:tcPr>
          <w:p w14:paraId="6A139E8C" w14:textId="5D5BE3CA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4 790 000</w:t>
            </w:r>
          </w:p>
        </w:tc>
        <w:tc>
          <w:tcPr>
            <w:tcW w:w="1660" w:type="dxa"/>
          </w:tcPr>
          <w:p w14:paraId="0DB65D2B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35A53615" w14:textId="77777777" w:rsidTr="00C36E8F">
        <w:tc>
          <w:tcPr>
            <w:tcW w:w="683" w:type="dxa"/>
          </w:tcPr>
          <w:p w14:paraId="5E987AC6" w14:textId="0E0FC61C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63</w:t>
            </w:r>
          </w:p>
        </w:tc>
        <w:tc>
          <w:tcPr>
            <w:tcW w:w="5386" w:type="dxa"/>
          </w:tcPr>
          <w:p w14:paraId="1AAAF3B8" w14:textId="6EBEE9DA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أعباء المستخدمين</w:t>
            </w:r>
          </w:p>
        </w:tc>
        <w:tc>
          <w:tcPr>
            <w:tcW w:w="1559" w:type="dxa"/>
          </w:tcPr>
          <w:p w14:paraId="2B54A200" w14:textId="7E904557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4 500 000</w:t>
            </w:r>
          </w:p>
        </w:tc>
        <w:tc>
          <w:tcPr>
            <w:tcW w:w="1660" w:type="dxa"/>
          </w:tcPr>
          <w:p w14:paraId="68D7B0C4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423A8F1F" w14:textId="77777777" w:rsidTr="00C36E8F">
        <w:tc>
          <w:tcPr>
            <w:tcW w:w="683" w:type="dxa"/>
          </w:tcPr>
          <w:p w14:paraId="376281E9" w14:textId="59BDD129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64</w:t>
            </w:r>
          </w:p>
        </w:tc>
        <w:tc>
          <w:tcPr>
            <w:tcW w:w="5386" w:type="dxa"/>
          </w:tcPr>
          <w:p w14:paraId="591EA390" w14:textId="0CE0C2A3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الضرائب والرسوم والمدفوعات المماثلة</w:t>
            </w:r>
          </w:p>
        </w:tc>
        <w:tc>
          <w:tcPr>
            <w:tcW w:w="1559" w:type="dxa"/>
          </w:tcPr>
          <w:p w14:paraId="0775A827" w14:textId="1DE33971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150 000</w:t>
            </w:r>
          </w:p>
        </w:tc>
        <w:tc>
          <w:tcPr>
            <w:tcW w:w="1660" w:type="dxa"/>
          </w:tcPr>
          <w:p w14:paraId="47C095AB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66F46190" w14:textId="77777777" w:rsidTr="00C36E8F">
        <w:tc>
          <w:tcPr>
            <w:tcW w:w="683" w:type="dxa"/>
          </w:tcPr>
          <w:p w14:paraId="51868745" w14:textId="4B8977ED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65</w:t>
            </w:r>
          </w:p>
        </w:tc>
        <w:tc>
          <w:tcPr>
            <w:tcW w:w="5386" w:type="dxa"/>
          </w:tcPr>
          <w:p w14:paraId="310045A6" w14:textId="24BEE195" w:rsidR="00B512E0" w:rsidRPr="00D123E2" w:rsidRDefault="00B512E0" w:rsidP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الأعباء العملياتية الأخرى</w:t>
            </w:r>
          </w:p>
        </w:tc>
        <w:tc>
          <w:tcPr>
            <w:tcW w:w="1559" w:type="dxa"/>
          </w:tcPr>
          <w:p w14:paraId="727CB423" w14:textId="079A0961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10 000</w:t>
            </w:r>
          </w:p>
        </w:tc>
        <w:tc>
          <w:tcPr>
            <w:tcW w:w="1660" w:type="dxa"/>
          </w:tcPr>
          <w:p w14:paraId="3517A3D1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68B9AB5E" w14:textId="77777777" w:rsidTr="00C36E8F">
        <w:tc>
          <w:tcPr>
            <w:tcW w:w="683" w:type="dxa"/>
          </w:tcPr>
          <w:p w14:paraId="29C74A18" w14:textId="3D31EE2E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66</w:t>
            </w:r>
          </w:p>
        </w:tc>
        <w:tc>
          <w:tcPr>
            <w:tcW w:w="5386" w:type="dxa"/>
          </w:tcPr>
          <w:p w14:paraId="5D724918" w14:textId="58847EAC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الأعباء المالية</w:t>
            </w:r>
          </w:p>
        </w:tc>
        <w:tc>
          <w:tcPr>
            <w:tcW w:w="1559" w:type="dxa"/>
          </w:tcPr>
          <w:p w14:paraId="046AF769" w14:textId="384E156A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60 000</w:t>
            </w:r>
          </w:p>
        </w:tc>
        <w:tc>
          <w:tcPr>
            <w:tcW w:w="1660" w:type="dxa"/>
          </w:tcPr>
          <w:p w14:paraId="16A23AE2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458A2562" w14:textId="77777777" w:rsidTr="00C36E8F">
        <w:tc>
          <w:tcPr>
            <w:tcW w:w="683" w:type="dxa"/>
          </w:tcPr>
          <w:p w14:paraId="517C434A" w14:textId="5ABC5346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68</w:t>
            </w:r>
          </w:p>
        </w:tc>
        <w:tc>
          <w:tcPr>
            <w:tcW w:w="5386" w:type="dxa"/>
          </w:tcPr>
          <w:p w14:paraId="272E51C4" w14:textId="49E0DAB5" w:rsidR="00B512E0" w:rsidRPr="00D123E2" w:rsidRDefault="00B512E0" w:rsidP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مخصصات </w:t>
            </w:r>
            <w:proofErr w:type="spellStart"/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الاهتلاكات</w:t>
            </w:r>
            <w:proofErr w:type="spellEnd"/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والمؤونات</w:t>
            </w:r>
            <w:proofErr w:type="spellEnd"/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وخسائر القيمة</w:t>
            </w:r>
          </w:p>
        </w:tc>
        <w:tc>
          <w:tcPr>
            <w:tcW w:w="1559" w:type="dxa"/>
          </w:tcPr>
          <w:p w14:paraId="3703848D" w14:textId="243E14FA" w:rsidR="00B512E0" w:rsidRPr="00D123E2" w:rsidRDefault="00C36E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3 </w:t>
            </w:r>
            <w:proofErr w:type="gramStart"/>
            <w:r w:rsidRPr="00D123E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160  000</w:t>
            </w:r>
            <w:proofErr w:type="gramEnd"/>
          </w:p>
        </w:tc>
        <w:tc>
          <w:tcPr>
            <w:tcW w:w="1660" w:type="dxa"/>
          </w:tcPr>
          <w:p w14:paraId="1D00DF7B" w14:textId="77777777" w:rsidR="00B512E0" w:rsidRPr="00D123E2" w:rsidRDefault="00B512E0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B512E0" w:rsidRPr="00D123E2" w14:paraId="58528815" w14:textId="77777777" w:rsidTr="00C36E8F">
        <w:tc>
          <w:tcPr>
            <w:tcW w:w="683" w:type="dxa"/>
          </w:tcPr>
          <w:p w14:paraId="355C6D18" w14:textId="1D833009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70</w:t>
            </w:r>
          </w:p>
        </w:tc>
        <w:tc>
          <w:tcPr>
            <w:tcW w:w="5386" w:type="dxa"/>
          </w:tcPr>
          <w:p w14:paraId="35D1FDC6" w14:textId="4DBEB63D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المبيعات من البضائع والمنتجات المصنعة والخدمات المقدمة</w:t>
            </w:r>
          </w:p>
        </w:tc>
        <w:tc>
          <w:tcPr>
            <w:tcW w:w="1559" w:type="dxa"/>
          </w:tcPr>
          <w:p w14:paraId="5401566B" w14:textId="7777777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0" w:type="dxa"/>
          </w:tcPr>
          <w:p w14:paraId="525D1745" w14:textId="3B2CF127" w:rsidR="00B512E0" w:rsidRPr="00D123E2" w:rsidRDefault="00D123E2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30 000 000</w:t>
            </w:r>
          </w:p>
        </w:tc>
      </w:tr>
      <w:tr w:rsidR="00B512E0" w:rsidRPr="00D123E2" w14:paraId="3BD908E4" w14:textId="77777777" w:rsidTr="00C36E8F">
        <w:tc>
          <w:tcPr>
            <w:tcW w:w="683" w:type="dxa"/>
          </w:tcPr>
          <w:p w14:paraId="30635A57" w14:textId="5BD878EB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72</w:t>
            </w:r>
          </w:p>
        </w:tc>
        <w:tc>
          <w:tcPr>
            <w:tcW w:w="5386" w:type="dxa"/>
          </w:tcPr>
          <w:p w14:paraId="6E8D8A6D" w14:textId="1EE326BC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512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الانتاج المحزن </w:t>
            </w:r>
          </w:p>
        </w:tc>
        <w:tc>
          <w:tcPr>
            <w:tcW w:w="1559" w:type="dxa"/>
          </w:tcPr>
          <w:p w14:paraId="47047B19" w14:textId="7777777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0" w:type="dxa"/>
          </w:tcPr>
          <w:p w14:paraId="11F33F88" w14:textId="79344BC5" w:rsidR="00B512E0" w:rsidRPr="00D123E2" w:rsidRDefault="00D123E2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1 510 000</w:t>
            </w:r>
          </w:p>
        </w:tc>
      </w:tr>
      <w:tr w:rsidR="00B512E0" w:rsidRPr="00D123E2" w14:paraId="6859DDF2" w14:textId="77777777" w:rsidTr="00C36E8F">
        <w:tc>
          <w:tcPr>
            <w:tcW w:w="683" w:type="dxa"/>
          </w:tcPr>
          <w:p w14:paraId="2B8CBCFF" w14:textId="16C9E9D2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75</w:t>
            </w:r>
          </w:p>
        </w:tc>
        <w:tc>
          <w:tcPr>
            <w:tcW w:w="5386" w:type="dxa"/>
          </w:tcPr>
          <w:p w14:paraId="513B4060" w14:textId="16072C66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المنتوجات العملياتية الأخرى</w:t>
            </w:r>
          </w:p>
        </w:tc>
        <w:tc>
          <w:tcPr>
            <w:tcW w:w="1559" w:type="dxa"/>
          </w:tcPr>
          <w:p w14:paraId="6921967D" w14:textId="7777777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0" w:type="dxa"/>
          </w:tcPr>
          <w:p w14:paraId="48971DAA" w14:textId="7F83FFDF" w:rsidR="00B512E0" w:rsidRPr="00D123E2" w:rsidRDefault="00D123E2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500 000</w:t>
            </w:r>
          </w:p>
        </w:tc>
      </w:tr>
      <w:tr w:rsidR="00B512E0" w:rsidRPr="00D123E2" w14:paraId="73139605" w14:textId="77777777" w:rsidTr="00C36E8F">
        <w:tc>
          <w:tcPr>
            <w:tcW w:w="683" w:type="dxa"/>
          </w:tcPr>
          <w:p w14:paraId="78030CDA" w14:textId="307CF79D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76</w:t>
            </w:r>
          </w:p>
        </w:tc>
        <w:tc>
          <w:tcPr>
            <w:tcW w:w="5386" w:type="dxa"/>
          </w:tcPr>
          <w:p w14:paraId="281105C0" w14:textId="5603C193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المنتوجات المالية</w:t>
            </w:r>
          </w:p>
        </w:tc>
        <w:tc>
          <w:tcPr>
            <w:tcW w:w="1559" w:type="dxa"/>
          </w:tcPr>
          <w:p w14:paraId="301668A6" w14:textId="7777777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0" w:type="dxa"/>
          </w:tcPr>
          <w:p w14:paraId="66B9703C" w14:textId="515D0AD1" w:rsidR="00B512E0" w:rsidRPr="00D123E2" w:rsidRDefault="00D123E2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70 000</w:t>
            </w:r>
          </w:p>
        </w:tc>
      </w:tr>
      <w:tr w:rsidR="00B512E0" w:rsidRPr="00D123E2" w14:paraId="4B6FCC22" w14:textId="77777777" w:rsidTr="00C36E8F">
        <w:tc>
          <w:tcPr>
            <w:tcW w:w="683" w:type="dxa"/>
          </w:tcPr>
          <w:p w14:paraId="2521095A" w14:textId="7AD93526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78</w:t>
            </w:r>
          </w:p>
        </w:tc>
        <w:tc>
          <w:tcPr>
            <w:tcW w:w="5386" w:type="dxa"/>
          </w:tcPr>
          <w:p w14:paraId="7F70838E" w14:textId="0A447F44" w:rsidR="00B512E0" w:rsidRPr="00D123E2" w:rsidRDefault="00B512E0" w:rsidP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spellStart"/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الاسترجاعات</w:t>
            </w:r>
            <w:proofErr w:type="spellEnd"/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عن خسائر القيمة </w:t>
            </w:r>
            <w:proofErr w:type="spellStart"/>
            <w:r w:rsidRPr="00D123E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والمؤونات</w:t>
            </w:r>
            <w:proofErr w:type="spellEnd"/>
          </w:p>
        </w:tc>
        <w:tc>
          <w:tcPr>
            <w:tcW w:w="1559" w:type="dxa"/>
          </w:tcPr>
          <w:p w14:paraId="1A73D1D4" w14:textId="77777777" w:rsidR="00B512E0" w:rsidRPr="00D123E2" w:rsidRDefault="00B51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0" w:type="dxa"/>
          </w:tcPr>
          <w:p w14:paraId="68457393" w14:textId="46171397" w:rsidR="00B512E0" w:rsidRPr="00D123E2" w:rsidRDefault="00D123E2" w:rsidP="00D123E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60 000</w:t>
            </w:r>
          </w:p>
        </w:tc>
      </w:tr>
    </w:tbl>
    <w:p w14:paraId="4AD4EB77" w14:textId="77777777" w:rsidR="001239AB" w:rsidRPr="00D123E2" w:rsidRDefault="001239AB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28C424F4" w14:textId="539462B3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من جهة أخرى قدمت لك المعلومات التالية:</w:t>
      </w:r>
    </w:p>
    <w:p w14:paraId="7A8ED274" w14:textId="77777777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يتضمن حساب 61 الخدمات الخارجية ما يلي:</w:t>
      </w:r>
    </w:p>
    <w:p w14:paraId="1DF76952" w14:textId="77777777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مصاريف تصليح السيارة السياحية بقيمة 150000 دج.</w:t>
      </w:r>
    </w:p>
    <w:p w14:paraId="30FDAB2D" w14:textId="77777777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أعباء إيجار مباني مخصصة لايواء العمال بقيمة 140000 دج.</w:t>
      </w:r>
    </w:p>
    <w:p w14:paraId="2B74B1E6" w14:textId="77777777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اقساط تأمينات خاصة بالعناد الصناعي بقيمة 100000 دج</w:t>
      </w:r>
    </w:p>
    <w:p w14:paraId="524E6083" w14:textId="77777777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يتضمن حساب 62 الخدمات الخارجية الأخرى ما يلي:</w:t>
      </w:r>
    </w:p>
    <w:p w14:paraId="687ACFC1" w14:textId="41DBDFA2" w:rsidR="001239AB" w:rsidRPr="00D123E2" w:rsidRDefault="00D123E2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>اتعاب المحاسب المقدرة بـ 120000 دج وغير مسددة خلال السنة الجارية</w:t>
      </w:r>
    </w:p>
    <w:p w14:paraId="54F4AB1C" w14:textId="6C458832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مصاريف الفندق والاطعام ليس لها علاقة بالاستغلال بقيمة </w:t>
      </w:r>
      <w:r w:rsidR="00B512E0" w:rsidRPr="00D123E2">
        <w:rPr>
          <w:rFonts w:asciiTheme="majorBidi" w:hAnsiTheme="majorBidi" w:cstheme="majorBidi"/>
          <w:sz w:val="24"/>
          <w:szCs w:val="24"/>
          <w:rtl/>
          <w:lang w:bidi="ar-DZ"/>
        </w:rPr>
        <w:t>80000</w:t>
      </w:r>
      <w:r w:rsidRPr="00D123E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دج</w:t>
      </w:r>
    </w:p>
    <w:p w14:paraId="775C9181" w14:textId="77777777" w:rsidR="00B512E0" w:rsidRPr="00D123E2" w:rsidRDefault="00B512E0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هدايا اشهارية عددها 300هدية بقيمة 1300 دج للوحدات </w:t>
      </w:r>
    </w:p>
    <w:p w14:paraId="000B9074" w14:textId="2770DBE4" w:rsidR="001239AB" w:rsidRPr="00D123E2" w:rsidRDefault="00B512E0" w:rsidP="00B512E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اعانة مالية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لاحدى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الجمعيات الخيرية بقيمة 4200000 رج.</w:t>
      </w:r>
    </w:p>
    <w:p w14:paraId="3F63C2AF" w14:textId="34C244FF" w:rsidR="001A45EC" w:rsidRPr="00D123E2" w:rsidRDefault="00D123E2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proofErr w:type="gram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lastRenderedPageBreak/>
        <w:t>يظم</w:t>
      </w:r>
      <w:proofErr w:type="gram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حساب 64 الضرائب والرسوم والمدفوعات المماثلة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ايلي</w:t>
      </w:r>
      <w:proofErr w:type="spellEnd"/>
    </w:p>
    <w:p w14:paraId="0192B31B" w14:textId="2C57795B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رس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م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البني 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ب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قيمة 50000 دج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-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الريس على التكوين ال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مهني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(بقيمة 40000 دج </w:t>
      </w:r>
      <w:proofErr w:type="gram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و الرسم</w:t>
      </w:r>
      <w:proofErr w:type="gram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على التم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هين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(بقيمة 45000 دج</w:t>
      </w:r>
    </w:p>
    <w:p w14:paraId="00D772FC" w14:textId="229412DA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و الرسم</w:t>
      </w:r>
      <w:proofErr w:type="gram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العقاري بقيمة 10000 دج.</w:t>
      </w:r>
    </w:p>
    <w:p w14:paraId="0BF4B05B" w14:textId="4CE5020D" w:rsidR="001A45EC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يحتوي حساب 6</w:t>
      </w:r>
      <w:r w:rsidR="00D123E2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5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الأعباء العملياتية الأخرى على عقوبات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جيانية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بقيمة 10000 دج</w:t>
      </w:r>
    </w:p>
    <w:p w14:paraId="542A18EE" w14:textId="77777777" w:rsidR="001A45EC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يحتوي حساب 66 الأعباء المالية على أعباء القوات الناتجة عن عقد التأجير التمويل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ي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بقيمة 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60000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.</w:t>
      </w:r>
    </w:p>
    <w:p w14:paraId="41736870" w14:textId="11161F5E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يضمن حساب 6</w:t>
      </w:r>
      <w:r w:rsidR="00D123E2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8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مخصصات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الاهتلاكات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والمؤونات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وخسائر القيمة مايلي</w:t>
      </w:r>
    </w:p>
    <w:p w14:paraId="4342A30C" w14:textId="77777777" w:rsidR="001A45EC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القسط إهتلاك مباني صناعية بقيمة 500000 دج تمتلك خطيا على أساس قيمة أصلية </w:t>
      </w:r>
    </w:p>
    <w:p w14:paraId="75BD7B4A" w14:textId="6E75CD76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10000000 قسط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إهتلاك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سنوي للسيارة السياحية بقيمة 600000 دج مدة منفعتها 05 سنوات</w:t>
      </w:r>
    </w:p>
    <w:p w14:paraId="1E56A831" w14:textId="381979EF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قسط إمتلاك معدات إنتاجية بقيمة 1400000 دج علما أن المعدات الانتاجية تم إعادة تقييمها في نهاية السنة الماضية بقيمة 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7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000000 دج بعد ثلاث سنوات من الاستعمال، في حين قدرت قيمنيا الأ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صلي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ة بقيمة 5000000 دج ت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ه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تلك محاسبيا على أساس مدة منفعة قدرها 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8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سنوات.</w:t>
      </w:r>
    </w:p>
    <w:p w14:paraId="13B0D2D1" w14:textId="5EDD98CB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قسطة </w:t>
      </w:r>
      <w:proofErr w:type="gram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ه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تلاك</w:t>
      </w:r>
      <w:proofErr w:type="gram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وسائل نقل بقيمة 400000 دج تم الحصول عليها في إطار عقد الايجار التمويل.</w:t>
      </w:r>
    </w:p>
    <w:p w14:paraId="019457F3" w14:textId="64B7E4DE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علما أن القسط المسدد من أجل سداد فرض الإيجار التمويلي يقدر، 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3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00000 دج.</w:t>
      </w:r>
    </w:p>
    <w:p w14:paraId="49A55914" w14:textId="77777777" w:rsidR="001A45EC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قسط إهتلاك تجهيزات مكتب بقيمة 200000 دج تمتلك باعتماد طريقة الاهتلاك التصاعدي في حين تقدر قيمة هذه التجهيزات بقيمة 1500000 دج تمتلك جيانيا على أساس مدة منفعة قدرها 05 سنوات</w:t>
      </w:r>
    </w:p>
    <w:p w14:paraId="6E1A1747" w14:textId="7DD403DE" w:rsidR="001239AB" w:rsidRPr="00D123E2" w:rsidRDefault="00000000" w:rsidP="001A45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يحتوي حساب 75 المنتوجات العملياتية الأخرى على فائض قيمة بقيمة 500000 دج ناتج عن التنازل عن آلة إنتاجية كانت بحوزة الشركة منذ شهر جانفي 2018</w:t>
      </w:r>
    </w:p>
    <w:p w14:paraId="5414B70A" w14:textId="5080CA92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يتمثل حساب 7</w:t>
      </w:r>
      <w:r w:rsidR="00D123E2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6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المنتوجات المالية في أرباح ناتجة عن التنازل عن أصول مالية بقيمة 70000 دج.</w:t>
      </w:r>
    </w:p>
    <w:p w14:paraId="68FB36DA" w14:textId="675730CD" w:rsidR="001239AB" w:rsidRPr="00D123E2" w:rsidRDefault="00000000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المطلوب</w:t>
      </w:r>
    </w:p>
    <w:p w14:paraId="598C1906" w14:textId="6B08E525" w:rsidR="001A45EC" w:rsidRPr="00D123E2" w:rsidRDefault="00C36E8F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1حساب النتيجة العادية قبل الضرائب</w:t>
      </w:r>
      <w:r w:rsidR="00D123E2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D123E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المحققة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سنة 2022.</w:t>
      </w:r>
    </w:p>
    <w:p w14:paraId="6C6ACB2D" w14:textId="5D97FC00" w:rsidR="001239AB" w:rsidRPr="00D123E2" w:rsidRDefault="00000000" w:rsidP="00C36E8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2 حساب الرب </w:t>
      </w:r>
      <w:proofErr w:type="spellStart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الج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ب</w:t>
      </w:r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ا</w:t>
      </w:r>
      <w:r w:rsidR="001A45EC"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>ىي</w:t>
      </w:r>
      <w:proofErr w:type="spellEnd"/>
      <w:r w:rsidRPr="00D123E2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الخاضع للضريبة </w:t>
      </w:r>
    </w:p>
    <w:sectPr w:rsidR="001239AB" w:rsidRPr="00D1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Digital Arabia">
    <w:altName w:val="Times New Roman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DF040CA"/>
    <w:lvl w:ilvl="0" w:tplc="288CCA40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C74"/>
    <w:multiLevelType w:val="hybridMultilevel"/>
    <w:tmpl w:val="6D26A36E"/>
    <w:lvl w:ilvl="0" w:tplc="D2D61B44">
      <w:start w:val="4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94734884">
    <w:abstractNumId w:val="1"/>
  </w:num>
  <w:num w:numId="2" w16cid:durableId="190305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B"/>
    <w:rsid w:val="001239AB"/>
    <w:rsid w:val="001A45EC"/>
    <w:rsid w:val="003A153F"/>
    <w:rsid w:val="0088486E"/>
    <w:rsid w:val="00936B48"/>
    <w:rsid w:val="00A427F3"/>
    <w:rsid w:val="00AE1F57"/>
    <w:rsid w:val="00AF49D8"/>
    <w:rsid w:val="00B512E0"/>
    <w:rsid w:val="00B54162"/>
    <w:rsid w:val="00C36E8F"/>
    <w:rsid w:val="00D123E2"/>
    <w:rsid w:val="00EC0679"/>
    <w:rsid w:val="00E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58A"/>
  <w15:docId w15:val="{54393F03-8DFA-46FC-803F-F588E8E6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Informatics</cp:lastModifiedBy>
  <cp:revision>2</cp:revision>
  <cp:lastPrinted>2016-11-10T09:59:00Z</cp:lastPrinted>
  <dcterms:created xsi:type="dcterms:W3CDTF">2024-11-21T20:33:00Z</dcterms:created>
  <dcterms:modified xsi:type="dcterms:W3CDTF">2024-11-21T20:33:00Z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c9d8a1186b714d60a3e876a2602435df</vt:lpwstr>
  </property>
</Properties>
</file>